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2FC" w:rsidRPr="0040216E" w:rsidRDefault="003722FB" w:rsidP="00ED62FC">
      <w:pPr>
        <w:pStyle w:val="Title"/>
        <w:rPr>
          <w:rFonts w:ascii="Book Antiqua" w:hAnsi="Book Antiqua"/>
        </w:rPr>
      </w:pPr>
      <w:r w:rsidRPr="0040216E">
        <w:rPr>
          <w:rFonts w:ascii="Book Antiqua" w:hAnsi="Book Antiqua"/>
          <w:i/>
          <w:noProof/>
        </w:rPr>
        <mc:AlternateContent>
          <mc:Choice Requires="wps">
            <w:drawing>
              <wp:anchor distT="45720" distB="45720" distL="114300" distR="114300" simplePos="0" relativeHeight="251659264" behindDoc="0" locked="0" layoutInCell="1" allowOverlap="1" wp14:anchorId="106A4CF9" wp14:editId="5917B19D">
                <wp:simplePos x="0" y="0"/>
                <wp:positionH relativeFrom="column">
                  <wp:posOffset>2863850</wp:posOffset>
                </wp:positionH>
                <wp:positionV relativeFrom="paragraph">
                  <wp:posOffset>766445</wp:posOffset>
                </wp:positionV>
                <wp:extent cx="1912620" cy="1828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828800"/>
                        </a:xfrm>
                        <a:prstGeom prst="rect">
                          <a:avLst/>
                        </a:prstGeom>
                        <a:noFill/>
                        <a:ln w="9525">
                          <a:noFill/>
                          <a:miter lim="800000"/>
                          <a:headEnd/>
                          <a:tailEnd/>
                        </a:ln>
                      </wps:spPr>
                      <wps:txbx>
                        <w:txbxContent>
                          <w:p w:rsidR="00BC4B6D" w:rsidRPr="001E7C5B" w:rsidRDefault="00BC4B6D" w:rsidP="00C706BF">
                            <w:pPr>
                              <w:rPr>
                                <w:rFonts w:ascii="Century Gothic" w:hAnsi="Century Gothic" w:cs="Arial"/>
                                <w:color w:val="2F5496" w:themeColor="accent5" w:themeShade="BF"/>
                                <w:sz w:val="20"/>
                                <w:szCs w:val="20"/>
                              </w:rPr>
                            </w:pPr>
                            <w:r w:rsidRPr="001E7C5B">
                              <w:rPr>
                                <w:rFonts w:ascii="Century Gothic" w:hAnsi="Century Gothic" w:cs="Arial"/>
                                <w:color w:val="2F5496" w:themeColor="accent5" w:themeShade="BF"/>
                                <w:sz w:val="20"/>
                                <w:szCs w:val="20"/>
                              </w:rPr>
                              <w:t xml:space="preserve">Though </w:t>
                            </w:r>
                            <w:r w:rsidR="00D46F89" w:rsidRPr="001E7C5B">
                              <w:rPr>
                                <w:rFonts w:ascii="Century Gothic" w:hAnsi="Century Gothic" w:cs="Arial"/>
                                <w:color w:val="2F5496" w:themeColor="accent5" w:themeShade="BF"/>
                                <w:sz w:val="20"/>
                                <w:szCs w:val="20"/>
                              </w:rPr>
                              <w:t>no-poaching agreements are common in a variety of business transactions, the Department of Justice has stepped up its oversight of these arrangements and determined that some qualify as per se violations of antitrust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A4CF9" id="_x0000_t202" coordsize="21600,21600" o:spt="202" path="m,l,21600r21600,l21600,xe">
                <v:stroke joinstyle="miter"/>
                <v:path gradientshapeok="t" o:connecttype="rect"/>
              </v:shapetype>
              <v:shape id="Text Box 2" o:spid="_x0000_s1026" type="#_x0000_t202" style="position:absolute;margin-left:225.5pt;margin-top:60.35pt;width:150.6pt;height:2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" filled="f" stroked="f">
                <v:textbox>
                  <w:txbxContent>
                    <w:p w:rsidR="00BC4B6D" w:rsidRPr="001E7C5B" w:rsidRDefault="00BC4B6D" w:rsidP="00C706BF">
                      <w:pPr>
                        <w:rPr>
                          <w:rFonts w:ascii="Century Gothic" w:hAnsi="Century Gothic" w:cs="Arial"/>
                          <w:color w:val="2F5496" w:themeColor="accent5" w:themeShade="BF"/>
                          <w:sz w:val="20"/>
                          <w:szCs w:val="20"/>
                        </w:rPr>
                      </w:pPr>
                      <w:r w:rsidRPr="001E7C5B">
                        <w:rPr>
                          <w:rFonts w:ascii="Century Gothic" w:hAnsi="Century Gothic" w:cs="Arial"/>
                          <w:color w:val="2F5496" w:themeColor="accent5" w:themeShade="BF"/>
                          <w:sz w:val="20"/>
                          <w:szCs w:val="20"/>
                        </w:rPr>
                        <w:t xml:space="preserve">Though </w:t>
                      </w:r>
                      <w:r w:rsidR="00D46F89" w:rsidRPr="001E7C5B">
                        <w:rPr>
                          <w:rFonts w:ascii="Century Gothic" w:hAnsi="Century Gothic" w:cs="Arial"/>
                          <w:color w:val="2F5496" w:themeColor="accent5" w:themeShade="BF"/>
                          <w:sz w:val="20"/>
                          <w:szCs w:val="20"/>
                        </w:rPr>
                        <w:t>no-poaching agreements are common in a variety of business transactions, the Department of Justice has stepped up its oversight of these arrangements and determined that some qualify as per se violations of antitrust law.</w:t>
                      </w:r>
                    </w:p>
                  </w:txbxContent>
                </v:textbox>
                <w10:wrap type="square"/>
              </v:shape>
            </w:pict>
          </mc:Fallback>
        </mc:AlternateContent>
      </w:r>
      <w:r w:rsidR="00D46F89" w:rsidRPr="0040216E">
        <w:rPr>
          <w:rFonts w:ascii="Book Antiqua" w:hAnsi="Book Antiqua"/>
        </w:rPr>
        <w:t>No-Poaching Agreements and the Department of Justice’s Antitrust Gui</w:t>
      </w:r>
      <w:bookmarkStart w:id="0" w:name="_GoBack"/>
      <w:bookmarkEnd w:id="0"/>
      <w:r w:rsidR="00D46F89" w:rsidRPr="0040216E">
        <w:rPr>
          <w:rFonts w:ascii="Book Antiqua" w:hAnsi="Book Antiqua"/>
        </w:rPr>
        <w:t>dance</w:t>
      </w:r>
    </w:p>
    <w:p w:rsidR="00ED62FC" w:rsidRPr="0040216E" w:rsidRDefault="00D46F89" w:rsidP="00ED62FC">
      <w:pPr>
        <w:pStyle w:val="BodyText"/>
        <w:rPr>
          <w:rFonts w:ascii="Book Antiqua" w:hAnsi="Book Antiqua"/>
        </w:rPr>
      </w:pPr>
      <w:r w:rsidRPr="0040216E">
        <w:rPr>
          <w:rFonts w:ascii="Book Antiqua" w:hAnsi="Book Antiqua"/>
        </w:rPr>
        <w:t xml:space="preserve">A few years back, the Department of Justice launched an antitrust action against several technology giants, including Apple, Google, Intel, Pixar, and others. The action was based on the Sherman Act and alleged that these employers committed a </w:t>
      </w:r>
      <w:r w:rsidRPr="00621AB2">
        <w:rPr>
          <w:rFonts w:ascii="Book Antiqua" w:hAnsi="Book Antiqua"/>
          <w:i/>
        </w:rPr>
        <w:t>per se</w:t>
      </w:r>
      <w:r w:rsidRPr="0040216E">
        <w:rPr>
          <w:rFonts w:ascii="Book Antiqua" w:hAnsi="Book Antiqua"/>
        </w:rPr>
        <w:t xml:space="preserve"> violation of the antitrust law</w:t>
      </w:r>
      <w:r w:rsidR="00621AB2">
        <w:rPr>
          <w:rFonts w:ascii="Book Antiqua" w:hAnsi="Book Antiqua"/>
        </w:rPr>
        <w:t>s</w:t>
      </w:r>
      <w:r w:rsidRPr="0040216E">
        <w:rPr>
          <w:rFonts w:ascii="Book Antiqua" w:hAnsi="Book Antiqua"/>
        </w:rPr>
        <w:t xml:space="preserve"> when they agreed not to cold-call each other’s employees</w:t>
      </w:r>
      <w:r w:rsidR="00C706BF" w:rsidRPr="0040216E">
        <w:rPr>
          <w:rFonts w:ascii="Book Antiqua" w:hAnsi="Book Antiqua"/>
        </w:rPr>
        <w:t>.</w:t>
      </w:r>
    </w:p>
    <w:p w:rsidR="00563B9C" w:rsidRPr="0040216E" w:rsidRDefault="00D46F89" w:rsidP="00ED62FC">
      <w:pPr>
        <w:pStyle w:val="BodyText"/>
        <w:rPr>
          <w:rFonts w:ascii="Book Antiqua" w:hAnsi="Book Antiqua"/>
        </w:rPr>
      </w:pPr>
      <w:r w:rsidRPr="0040216E">
        <w:rPr>
          <w:rFonts w:ascii="Book Antiqua" w:hAnsi="Book Antiqua"/>
        </w:rPr>
        <w:t>These no-poaching agreements were bilateral agreements that, according to the DOJ, eliminated a form of competition - the market to retain and hire employees. Those agreements reduced employee mobility and deprived workers of the opportunity to achieve higher wages and benefits. The particulars of the restraints were embarrassing for a number of big names in the technology industry (and featured a couple of famous e-mails from the late Steve Jobs). The significance of the horizontal no-poaching agreements was particularly acute for many workers (who later filed a civil class action), since California bars vertical non-competition agreements between employer and employee</w:t>
      </w:r>
      <w:r w:rsidR="00563B9C" w:rsidRPr="0040216E">
        <w:rPr>
          <w:rFonts w:ascii="Book Antiqua" w:hAnsi="Book Antiqua"/>
        </w:rPr>
        <w:t>.</w:t>
      </w:r>
    </w:p>
    <w:p w:rsidR="00563B9C" w:rsidRDefault="00D46F89" w:rsidP="00ED62FC">
      <w:pPr>
        <w:pStyle w:val="BodyText"/>
        <w:rPr>
          <w:rFonts w:ascii="Book Antiqua" w:hAnsi="Book Antiqua"/>
          <w:color w:val="000000"/>
        </w:rPr>
      </w:pPr>
      <w:r w:rsidRPr="0040216E">
        <w:rPr>
          <w:rFonts w:ascii="Book Antiqua" w:hAnsi="Book Antiqua"/>
          <w:color w:val="000000"/>
        </w:rPr>
        <w:t xml:space="preserve">In October of </w:t>
      </w:r>
      <w:r w:rsidR="00621AB2">
        <w:rPr>
          <w:rFonts w:ascii="Book Antiqua" w:hAnsi="Book Antiqua"/>
          <w:color w:val="000000"/>
        </w:rPr>
        <w:t>last</w:t>
      </w:r>
      <w:r w:rsidRPr="0040216E">
        <w:rPr>
          <w:rFonts w:ascii="Book Antiqua" w:hAnsi="Book Antiqua"/>
          <w:color w:val="000000"/>
        </w:rPr>
        <w:t xml:space="preserve"> year, the Department of Justice’s Antitrust Division, in conjunction with the Federal Trade Commission, released its</w:t>
      </w:r>
      <w:r w:rsidRPr="0040216E">
        <w:rPr>
          <w:rStyle w:val="apple-converted-space"/>
          <w:rFonts w:ascii="Book Antiqua" w:hAnsi="Book Antiqua"/>
          <w:color w:val="000000"/>
        </w:rPr>
        <w:t> </w:t>
      </w:r>
      <w:hyperlink r:id="rId7" w:history="1">
        <w:r w:rsidRPr="00621AB2">
          <w:rPr>
            <w:rStyle w:val="Hyperlink"/>
            <w:rFonts w:ascii="Book Antiqua" w:hAnsi="Book Antiqua"/>
            <w:i/>
            <w:iCs/>
            <w:u w:val="none"/>
          </w:rPr>
          <w:t>Antitrust Guidance for Human Resource Professionals</w:t>
        </w:r>
      </w:hyperlink>
      <w:r w:rsidRPr="0040216E">
        <w:rPr>
          <w:rFonts w:ascii="Book Antiqua" w:hAnsi="Book Antiqua"/>
          <w:color w:val="000000"/>
        </w:rPr>
        <w:t>. That document clarified the DOJ’s intent to criminally investigate “allegations that employers have agreed among themselves on employee compensation or not to solicit or hire each other</w:t>
      </w:r>
      <w:r w:rsidR="00621AB2">
        <w:rPr>
          <w:rFonts w:ascii="Book Antiqua" w:hAnsi="Book Antiqua"/>
          <w:color w:val="000000"/>
        </w:rPr>
        <w:t>’</w:t>
      </w:r>
      <w:r w:rsidRPr="0040216E">
        <w:rPr>
          <w:rFonts w:ascii="Book Antiqua" w:hAnsi="Book Antiqua"/>
          <w:color w:val="000000"/>
        </w:rPr>
        <w:t xml:space="preserve">s employees.” The DOJ’s guidance also makes repeated reference to “naked” agreements not to poach employees, meaning those that “are separate from or not reasonably necessary to a larger legitimate collaboration between the employers.” Those naked </w:t>
      </w:r>
      <w:r w:rsidRPr="0040216E">
        <w:rPr>
          <w:rFonts w:ascii="Book Antiqua" w:hAnsi="Book Antiqua"/>
          <w:color w:val="000000"/>
        </w:rPr>
        <w:lastRenderedPageBreak/>
        <w:t xml:space="preserve">restraints are </w:t>
      </w:r>
      <w:r w:rsidRPr="0040216E">
        <w:rPr>
          <w:rFonts w:ascii="Book Antiqua" w:hAnsi="Book Antiqua"/>
          <w:i/>
          <w:color w:val="000000"/>
        </w:rPr>
        <w:t>per se</w:t>
      </w:r>
      <w:r w:rsidRPr="0040216E">
        <w:rPr>
          <w:rFonts w:ascii="Book Antiqua" w:hAnsi="Book Antiqua"/>
          <w:color w:val="000000"/>
        </w:rPr>
        <w:t xml:space="preserve"> invalid, a violation of antitrust law, and will be deemed so “without any inquiry into [their] competitive effects.”</w:t>
      </w:r>
    </w:p>
    <w:p w:rsidR="001E7C5B" w:rsidRPr="001E7C5B" w:rsidRDefault="001E7C5B" w:rsidP="00ED62FC">
      <w:pPr>
        <w:pStyle w:val="BodyText"/>
        <w:rPr>
          <w:rFonts w:ascii="Book Antiqua" w:hAnsi="Book Antiqua"/>
          <w:b/>
          <w:smallCaps/>
        </w:rPr>
      </w:pPr>
      <w:r>
        <w:rPr>
          <w:rFonts w:ascii="Book Antiqua" w:hAnsi="Book Antiqua"/>
          <w:b/>
          <w:smallCaps/>
        </w:rPr>
        <w:t>Practice Implications</w:t>
      </w:r>
    </w:p>
    <w:p w:rsidR="00563B9C" w:rsidRPr="0040216E" w:rsidRDefault="00D46F89" w:rsidP="00563B9C">
      <w:pPr>
        <w:pStyle w:val="BodyText"/>
        <w:rPr>
          <w:rFonts w:ascii="Book Antiqua" w:hAnsi="Book Antiqua"/>
        </w:rPr>
      </w:pPr>
      <w:r w:rsidRPr="0040216E">
        <w:rPr>
          <w:rFonts w:ascii="Book Antiqua" w:hAnsi="Book Antiqua"/>
          <w:color w:val="000000"/>
        </w:rPr>
        <w:t xml:space="preserve">So what does this mean in practice? While the </w:t>
      </w:r>
      <w:r w:rsidR="00621AB2">
        <w:rPr>
          <w:rFonts w:ascii="Book Antiqua" w:hAnsi="Book Antiqua"/>
          <w:color w:val="000000"/>
        </w:rPr>
        <w:t>parameters of the DOJ’</w:t>
      </w:r>
      <w:r w:rsidRPr="0040216E">
        <w:rPr>
          <w:rFonts w:ascii="Book Antiqua" w:hAnsi="Book Antiqua"/>
          <w:color w:val="000000"/>
        </w:rPr>
        <w:t>s guidance are not set in stone, it’s possible to glean a few guiding principles for typical no-poaching scenarios</w:t>
      </w:r>
      <w:r w:rsidR="00563B9C" w:rsidRPr="0040216E">
        <w:rPr>
          <w:rFonts w:ascii="Book Antiqua" w:hAnsi="Book Antiqua"/>
        </w:rPr>
        <w:t>:</w:t>
      </w:r>
    </w:p>
    <w:p w:rsidR="00563B9C" w:rsidRPr="0040216E" w:rsidRDefault="00D46F89" w:rsidP="00563B9C">
      <w:pPr>
        <w:pStyle w:val="ListBullet"/>
        <w:rPr>
          <w:rFonts w:ascii="Book Antiqua" w:hAnsi="Book Antiqua"/>
          <w:szCs w:val="24"/>
        </w:rPr>
      </w:pPr>
      <w:r w:rsidRPr="0040216E">
        <w:rPr>
          <w:rFonts w:ascii="Book Antiqua" w:hAnsi="Book Antiqua"/>
          <w:i/>
          <w:szCs w:val="24"/>
        </w:rPr>
        <w:t>M&amp;A Due Diligence</w:t>
      </w:r>
      <w:r w:rsidR="00563B9C" w:rsidRPr="0040216E">
        <w:rPr>
          <w:rFonts w:ascii="Book Antiqua" w:hAnsi="Book Antiqua"/>
          <w:szCs w:val="24"/>
        </w:rPr>
        <w:t xml:space="preserve"> </w:t>
      </w:r>
      <w:r w:rsidR="00BC4B6D" w:rsidRPr="0040216E">
        <w:rPr>
          <w:rFonts w:ascii="Book Antiqua" w:hAnsi="Book Antiqua"/>
          <w:szCs w:val="24"/>
        </w:rPr>
        <w:t>–</w:t>
      </w:r>
      <w:r w:rsidR="00563B9C" w:rsidRPr="0040216E">
        <w:rPr>
          <w:rFonts w:ascii="Book Antiqua" w:hAnsi="Book Antiqua"/>
          <w:szCs w:val="24"/>
        </w:rPr>
        <w:t xml:space="preserve"> </w:t>
      </w:r>
      <w:r w:rsidRPr="0040216E">
        <w:rPr>
          <w:rFonts w:ascii="Book Antiqua" w:hAnsi="Book Antiqua"/>
          <w:color w:val="000000"/>
          <w:szCs w:val="24"/>
        </w:rPr>
        <w:t xml:space="preserve">No-poaching agreements are </w:t>
      </w:r>
      <w:proofErr w:type="gramStart"/>
      <w:r w:rsidRPr="0040216E">
        <w:rPr>
          <w:rFonts w:ascii="Book Antiqua" w:hAnsi="Book Antiqua"/>
          <w:color w:val="000000"/>
          <w:szCs w:val="24"/>
        </w:rPr>
        <w:t>fairly common</w:t>
      </w:r>
      <w:proofErr w:type="gramEnd"/>
      <w:r w:rsidRPr="0040216E">
        <w:rPr>
          <w:rFonts w:ascii="Book Antiqua" w:hAnsi="Book Antiqua"/>
          <w:color w:val="000000"/>
          <w:szCs w:val="24"/>
        </w:rPr>
        <w:t xml:space="preserve"> when an acquirer begins its due diligence of a potential target. Term sheets, letters of intent, and even transactional non-disclosure agreements often contain some form of no-hire clauses. These should be outside the DOJ’s antitrust framework. However, the better approach is to limit the scope of these no-hire arrangements to key employees who play a material role in the due diligence process and to a reasonable period of time - say, 6 to 9 months past the time the deal falls apart</w:t>
      </w:r>
      <w:r w:rsidR="00BC4B6D" w:rsidRPr="0040216E">
        <w:rPr>
          <w:rFonts w:ascii="Book Antiqua" w:hAnsi="Book Antiqua"/>
          <w:szCs w:val="24"/>
        </w:rPr>
        <w:t>.</w:t>
      </w:r>
    </w:p>
    <w:p w:rsidR="00964A2E" w:rsidRPr="0040216E" w:rsidRDefault="00BE76D5" w:rsidP="004C4449">
      <w:pPr>
        <w:pStyle w:val="ListBullet"/>
        <w:rPr>
          <w:rFonts w:ascii="Book Antiqua" w:hAnsi="Book Antiqua"/>
          <w:szCs w:val="24"/>
        </w:rPr>
      </w:pPr>
      <w:r w:rsidRPr="0040216E">
        <w:rPr>
          <w:rFonts w:ascii="Book Antiqua" w:hAnsi="Book Antiqua"/>
          <w:i/>
          <w:noProof/>
          <w:szCs w:val="24"/>
        </w:rPr>
        <mc:AlternateContent>
          <mc:Choice Requires="wps">
            <w:drawing>
              <wp:anchor distT="45720" distB="45720" distL="114300" distR="114300" simplePos="0" relativeHeight="251661312" behindDoc="0" locked="0" layoutInCell="1" allowOverlap="1" wp14:anchorId="7D05C6F9" wp14:editId="61AF30B9">
                <wp:simplePos x="0" y="0"/>
                <wp:positionH relativeFrom="column">
                  <wp:posOffset>2781300</wp:posOffset>
                </wp:positionH>
                <wp:positionV relativeFrom="paragraph">
                  <wp:posOffset>130810</wp:posOffset>
                </wp:positionV>
                <wp:extent cx="177546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1404620"/>
                        </a:xfrm>
                        <a:prstGeom prst="rect">
                          <a:avLst/>
                        </a:prstGeom>
                        <a:noFill/>
                        <a:ln w="9525">
                          <a:noFill/>
                          <a:miter lim="800000"/>
                          <a:headEnd/>
                          <a:tailEnd/>
                        </a:ln>
                      </wps:spPr>
                      <wps:txbx>
                        <w:txbxContent>
                          <w:p w:rsidR="00BD723B" w:rsidRPr="000D58B1" w:rsidRDefault="00C33E53" w:rsidP="00BD723B">
                            <w:pPr>
                              <w:rPr>
                                <w:rFonts w:ascii="Century Gothic" w:hAnsi="Century Gothic" w:cs="Arial"/>
                                <w:color w:val="2F5496" w:themeColor="accent5" w:themeShade="BF"/>
                                <w:sz w:val="20"/>
                                <w:szCs w:val="20"/>
                              </w:rPr>
                            </w:pPr>
                            <w:r w:rsidRPr="000D58B1">
                              <w:rPr>
                                <w:rFonts w:ascii="Century Gothic" w:hAnsi="Century Gothic" w:cs="Arial"/>
                                <w:color w:val="2F5496" w:themeColor="accent5" w:themeShade="BF"/>
                                <w:sz w:val="20"/>
                                <w:szCs w:val="20"/>
                              </w:rPr>
                              <w:t>The DOJ has taken steps to inform employers how it will analyze common types of no-poaching contracts, but ambiguities remain</w:t>
                            </w:r>
                            <w:r w:rsidR="00BD723B" w:rsidRPr="000D58B1">
                              <w:rPr>
                                <w:rFonts w:ascii="Century Gothic" w:hAnsi="Century Gothic" w:cs="Arial"/>
                                <w:color w:val="2F5496" w:themeColor="accent5" w:themeShade="BF"/>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5C6F9" id="_x0000_s1027" type="#_x0000_t202" style="position:absolute;left:0;text-align:left;margin-left:219pt;margin-top:10.3pt;width:139.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" filled="f" stroked="f">
                <v:textbox style="mso-fit-shape-to-text:t">
                  <w:txbxContent>
                    <w:p w:rsidR="00BD723B" w:rsidRPr="000D58B1" w:rsidRDefault="00C33E53" w:rsidP="00BD723B">
                      <w:pPr>
                        <w:rPr>
                          <w:rFonts w:ascii="Century Gothic" w:hAnsi="Century Gothic" w:cs="Arial"/>
                          <w:color w:val="2F5496" w:themeColor="accent5" w:themeShade="BF"/>
                          <w:sz w:val="20"/>
                          <w:szCs w:val="20"/>
                        </w:rPr>
                      </w:pPr>
                      <w:r w:rsidRPr="000D58B1">
                        <w:rPr>
                          <w:rFonts w:ascii="Century Gothic" w:hAnsi="Century Gothic" w:cs="Arial"/>
                          <w:color w:val="2F5496" w:themeColor="accent5" w:themeShade="BF"/>
                          <w:sz w:val="20"/>
                          <w:szCs w:val="20"/>
                        </w:rPr>
                        <w:t>The DOJ has taken steps to inform employers how it will analyze common types of no-poaching contracts, but ambiguities remain</w:t>
                      </w:r>
                      <w:r w:rsidR="00BD723B" w:rsidRPr="000D58B1">
                        <w:rPr>
                          <w:rFonts w:ascii="Century Gothic" w:hAnsi="Century Gothic" w:cs="Arial"/>
                          <w:color w:val="2F5496" w:themeColor="accent5" w:themeShade="BF"/>
                          <w:sz w:val="20"/>
                          <w:szCs w:val="20"/>
                        </w:rPr>
                        <w:t>.</w:t>
                      </w:r>
                    </w:p>
                  </w:txbxContent>
                </v:textbox>
                <w10:wrap type="square"/>
              </v:shape>
            </w:pict>
          </mc:Fallback>
        </mc:AlternateContent>
      </w:r>
      <w:r w:rsidR="00D46F89" w:rsidRPr="0040216E">
        <w:rPr>
          <w:rFonts w:ascii="Book Antiqua" w:hAnsi="Book Antiqua"/>
          <w:i/>
          <w:noProof/>
          <w:szCs w:val="24"/>
        </w:rPr>
        <w:t>Litigation Settlements</w:t>
      </w:r>
      <w:r w:rsidR="004C4449" w:rsidRPr="0040216E">
        <w:rPr>
          <w:rFonts w:ascii="Book Antiqua" w:hAnsi="Book Antiqua"/>
          <w:szCs w:val="24"/>
        </w:rPr>
        <w:t xml:space="preserve"> – </w:t>
      </w:r>
      <w:r w:rsidR="00D46F89" w:rsidRPr="0040216E">
        <w:rPr>
          <w:rFonts w:ascii="Book Antiqua" w:hAnsi="Book Antiqua"/>
          <w:color w:val="000000"/>
          <w:szCs w:val="24"/>
        </w:rPr>
        <w:t xml:space="preserve">No-poaching agreements very frequently arise during litigation (or threatened litigation) between competitors, usually over trade-secret theft allegations or a dispute over a group of employees’ non-compete agreements. Nearly all of those cases settle before trial. In many settlement agreements, a plaintiff demands that the defendant employer agree not to hire the plaintiff's employees for </w:t>
      </w:r>
      <w:proofErr w:type="gramStart"/>
      <w:r w:rsidR="00D46F89" w:rsidRPr="0040216E">
        <w:rPr>
          <w:rFonts w:ascii="Book Antiqua" w:hAnsi="Book Antiqua"/>
          <w:color w:val="000000"/>
          <w:szCs w:val="24"/>
        </w:rPr>
        <w:t>a period of time</w:t>
      </w:r>
      <w:proofErr w:type="gramEnd"/>
      <w:r w:rsidR="00D46F89" w:rsidRPr="0040216E">
        <w:rPr>
          <w:rFonts w:ascii="Book Antiqua" w:hAnsi="Book Antiqua"/>
          <w:color w:val="000000"/>
          <w:szCs w:val="24"/>
        </w:rPr>
        <w:t>. These types of agreements likely are unlawful. Nothing in the DOJ guidance contemplates that this type of restraint is “reasonably necessary to a larger legitimate collaboration,” and indeed it would seem to be the very type of horizontal agreement with a vertical impact - on non-party employees</w:t>
      </w:r>
      <w:r w:rsidR="004C4449" w:rsidRPr="0040216E">
        <w:rPr>
          <w:rFonts w:ascii="Book Antiqua" w:hAnsi="Book Antiqua"/>
          <w:szCs w:val="24"/>
        </w:rPr>
        <w:t>.</w:t>
      </w:r>
    </w:p>
    <w:p w:rsidR="004C4449" w:rsidRPr="0040216E" w:rsidRDefault="00D46F89" w:rsidP="004C4449">
      <w:pPr>
        <w:pStyle w:val="ListBullet"/>
        <w:rPr>
          <w:rFonts w:ascii="Book Antiqua" w:hAnsi="Book Antiqua"/>
          <w:szCs w:val="24"/>
        </w:rPr>
      </w:pPr>
      <w:r w:rsidRPr="0040216E">
        <w:rPr>
          <w:rFonts w:ascii="Book Antiqua" w:hAnsi="Book Antiqua"/>
          <w:i/>
          <w:szCs w:val="24"/>
        </w:rPr>
        <w:t>Business-to-Business Transactions</w:t>
      </w:r>
      <w:r w:rsidR="004C4449" w:rsidRPr="0040216E">
        <w:rPr>
          <w:rFonts w:ascii="Book Antiqua" w:hAnsi="Book Antiqua"/>
          <w:szCs w:val="24"/>
        </w:rPr>
        <w:t xml:space="preserve"> – </w:t>
      </w:r>
      <w:r w:rsidRPr="0040216E">
        <w:rPr>
          <w:rFonts w:ascii="Book Antiqua" w:hAnsi="Book Antiqua"/>
          <w:color w:val="000000"/>
          <w:szCs w:val="24"/>
        </w:rPr>
        <w:t xml:space="preserve">Somewhere in between these two paradigms are more run-of-the-mill contractual </w:t>
      </w:r>
      <w:r w:rsidRPr="0040216E">
        <w:rPr>
          <w:rFonts w:ascii="Book Antiqua" w:hAnsi="Book Antiqua"/>
          <w:color w:val="000000"/>
          <w:szCs w:val="24"/>
        </w:rPr>
        <w:lastRenderedPageBreak/>
        <w:t xml:space="preserve">arrangements between companies </w:t>
      </w:r>
      <w:r w:rsidR="00621AB2">
        <w:rPr>
          <w:rFonts w:ascii="Book Antiqua" w:hAnsi="Book Antiqua"/>
          <w:color w:val="000000"/>
          <w:szCs w:val="24"/>
        </w:rPr>
        <w:t>that</w:t>
      </w:r>
      <w:r w:rsidRPr="0040216E">
        <w:rPr>
          <w:rFonts w:ascii="Book Antiqua" w:hAnsi="Book Antiqua"/>
          <w:color w:val="000000"/>
          <w:szCs w:val="24"/>
        </w:rPr>
        <w:t xml:space="preserve"> aren’t necessarily competitors. Many technology staffing contracts feature some iteration of no-hire/no-poaching clauses. Others do as well, including some service-oriented relationships that look like a poor-man’s joint venture. Because of the close relationship developed among the two companies’ employees (a</w:t>
      </w:r>
      <w:r w:rsidR="00621AB2">
        <w:rPr>
          <w:rFonts w:ascii="Book Antiqua" w:hAnsi="Book Antiqua"/>
          <w:color w:val="000000"/>
          <w:szCs w:val="24"/>
        </w:rPr>
        <w:t>nd their exposure to each other’</w:t>
      </w:r>
      <w:r w:rsidRPr="0040216E">
        <w:rPr>
          <w:rFonts w:ascii="Book Antiqua" w:hAnsi="Book Antiqua"/>
          <w:color w:val="000000"/>
          <w:szCs w:val="24"/>
        </w:rPr>
        <w:t xml:space="preserve">s business), the perceived need for a no-poaching agreement becomes obvious. </w:t>
      </w:r>
      <w:r w:rsidR="00621AB2">
        <w:rPr>
          <w:rFonts w:ascii="Book Antiqua" w:hAnsi="Book Antiqua"/>
          <w:color w:val="000000"/>
          <w:szCs w:val="24"/>
        </w:rPr>
        <w:t>T</w:t>
      </w:r>
      <w:r w:rsidRPr="0040216E">
        <w:rPr>
          <w:rFonts w:ascii="Book Antiqua" w:hAnsi="Book Antiqua"/>
          <w:color w:val="000000"/>
          <w:szCs w:val="24"/>
        </w:rPr>
        <w:t xml:space="preserve">hese will likely be okay, but again a narrow scope with a short time limit is essential. That these agreements are usually not between competitors is helpful to, but not dispositive of, the antitrust analysis, since the relevant market is the </w:t>
      </w:r>
      <w:r w:rsidRPr="00621AB2">
        <w:rPr>
          <w:rFonts w:ascii="Book Antiqua" w:hAnsi="Book Antiqua"/>
          <w:i/>
          <w:color w:val="000000"/>
          <w:szCs w:val="24"/>
        </w:rPr>
        <w:t>employment</w:t>
      </w:r>
      <w:r w:rsidRPr="0040216E">
        <w:rPr>
          <w:rFonts w:ascii="Book Antiqua" w:hAnsi="Book Antiqua"/>
          <w:color w:val="000000"/>
          <w:szCs w:val="24"/>
        </w:rPr>
        <w:t xml:space="preserve"> marketplace - quite broad indeed</w:t>
      </w:r>
      <w:r w:rsidRPr="0040216E">
        <w:rPr>
          <w:rFonts w:ascii="Book Antiqua" w:hAnsi="Book Antiqua"/>
          <w:szCs w:val="24"/>
        </w:rPr>
        <w:t>.</w:t>
      </w:r>
    </w:p>
    <w:p w:rsidR="00D46F89" w:rsidRPr="0040216E" w:rsidRDefault="00D46F89" w:rsidP="00D46F89">
      <w:pPr>
        <w:pStyle w:val="ListBullet2"/>
        <w:numPr>
          <w:ilvl w:val="0"/>
          <w:numId w:val="0"/>
        </w:numPr>
        <w:ind w:left="360"/>
        <w:rPr>
          <w:rFonts w:ascii="Book Antiqua" w:hAnsi="Book Antiqua"/>
          <w:color w:val="000000"/>
          <w:sz w:val="24"/>
          <w:szCs w:val="24"/>
        </w:rPr>
      </w:pPr>
      <w:r w:rsidRPr="0040216E">
        <w:rPr>
          <w:rFonts w:ascii="Book Antiqua" w:hAnsi="Book Antiqua"/>
          <w:color w:val="000000"/>
          <w:sz w:val="24"/>
          <w:szCs w:val="24"/>
        </w:rPr>
        <w:t>***</w:t>
      </w:r>
    </w:p>
    <w:p w:rsidR="004C4449" w:rsidRPr="0040216E" w:rsidRDefault="00D46F89" w:rsidP="00D46F89">
      <w:pPr>
        <w:pStyle w:val="ListBullet2"/>
        <w:numPr>
          <w:ilvl w:val="0"/>
          <w:numId w:val="0"/>
        </w:numPr>
        <w:ind w:left="360"/>
        <w:rPr>
          <w:rFonts w:ascii="Book Antiqua" w:hAnsi="Book Antiqua"/>
        </w:rPr>
      </w:pPr>
      <w:r w:rsidRPr="0040216E">
        <w:rPr>
          <w:rFonts w:ascii="Book Antiqua" w:hAnsi="Book Antiqua"/>
          <w:color w:val="000000"/>
          <w:sz w:val="24"/>
          <w:szCs w:val="24"/>
        </w:rPr>
        <w:t xml:space="preserve">The DOJ’s guidance is helpful to an extent, but like much of antitrust law, the parameters are not well-defined. With the </w:t>
      </w:r>
      <w:r w:rsidR="00621AB2">
        <w:rPr>
          <w:rFonts w:ascii="Book Antiqua" w:hAnsi="Book Antiqua"/>
          <w:color w:val="000000"/>
          <w:sz w:val="24"/>
          <w:szCs w:val="24"/>
        </w:rPr>
        <w:t>new</w:t>
      </w:r>
      <w:r w:rsidRPr="0040216E">
        <w:rPr>
          <w:rFonts w:ascii="Book Antiqua" w:hAnsi="Book Antiqua"/>
          <w:color w:val="000000"/>
          <w:sz w:val="24"/>
          <w:szCs w:val="24"/>
        </w:rPr>
        <w:t xml:space="preserve"> administration and </w:t>
      </w:r>
      <w:r w:rsidR="00621AB2">
        <w:rPr>
          <w:rFonts w:ascii="Book Antiqua" w:hAnsi="Book Antiqua"/>
          <w:color w:val="000000"/>
          <w:sz w:val="24"/>
          <w:szCs w:val="24"/>
        </w:rPr>
        <w:t>distractions within the leadership</w:t>
      </w:r>
      <w:r w:rsidRPr="0040216E">
        <w:rPr>
          <w:rFonts w:ascii="Book Antiqua" w:hAnsi="Book Antiqua"/>
          <w:color w:val="000000"/>
          <w:sz w:val="24"/>
          <w:szCs w:val="24"/>
        </w:rPr>
        <w:t xml:space="preserve"> at the DOJ, there is even greater uncertainty whether no-poaching agreements will warrant serious civil or criminal scrutiny.</w:t>
      </w:r>
    </w:p>
    <w:p w:rsidR="00CC6078" w:rsidRPr="0040216E" w:rsidRDefault="00CC6078" w:rsidP="00D46F89">
      <w:pPr>
        <w:pStyle w:val="ListBullet2"/>
        <w:numPr>
          <w:ilvl w:val="0"/>
          <w:numId w:val="0"/>
        </w:numPr>
        <w:ind w:left="720" w:hanging="360"/>
        <w:rPr>
          <w:rFonts w:ascii="Book Antiqua" w:hAnsi="Book Antiqua"/>
        </w:rPr>
      </w:pPr>
    </w:p>
    <w:p w:rsidR="00C0639A" w:rsidRPr="0040216E" w:rsidRDefault="00C0639A" w:rsidP="007167D2">
      <w:pPr>
        <w:tabs>
          <w:tab w:val="left" w:pos="1056"/>
          <w:tab w:val="right" w:pos="7920"/>
        </w:tabs>
        <w:ind w:right="1800"/>
        <w:rPr>
          <w:rFonts w:ascii="Book Antiqua" w:hAnsi="Book Antiqua"/>
          <w:u w:val="single"/>
        </w:rPr>
      </w:pPr>
      <w:r w:rsidRPr="0040216E">
        <w:rPr>
          <w:rFonts w:ascii="Book Antiqua" w:hAnsi="Book Antiqua"/>
          <w:u w:val="single"/>
        </w:rPr>
        <w:tab/>
      </w:r>
      <w:r w:rsidR="007167D2" w:rsidRPr="0040216E">
        <w:rPr>
          <w:rFonts w:ascii="Book Antiqua" w:hAnsi="Book Antiqua"/>
          <w:u w:val="single"/>
        </w:rPr>
        <w:tab/>
      </w:r>
    </w:p>
    <w:p w:rsidR="00C0639A" w:rsidRPr="0040216E" w:rsidRDefault="00C0639A" w:rsidP="007167D2">
      <w:pPr>
        <w:tabs>
          <w:tab w:val="right" w:pos="9720"/>
        </w:tabs>
        <w:ind w:right="1800"/>
        <w:rPr>
          <w:rFonts w:ascii="Book Antiqua" w:hAnsi="Book Antiqua" w:cs="Times New Roman"/>
          <w:sz w:val="20"/>
          <w:szCs w:val="20"/>
        </w:rPr>
      </w:pPr>
      <w:r w:rsidRPr="0040216E">
        <w:rPr>
          <w:rFonts w:ascii="Book Antiqua" w:hAnsi="Book Antiqua" w:cs="Times New Roman"/>
          <w:sz w:val="20"/>
          <w:szCs w:val="20"/>
        </w:rPr>
        <w:t xml:space="preserve">If you have any questions about the matters addressed in this </w:t>
      </w:r>
      <w:r w:rsidRPr="0040216E">
        <w:rPr>
          <w:rFonts w:ascii="Book Antiqua" w:hAnsi="Book Antiqua" w:cs="Times New Roman"/>
          <w:i/>
          <w:sz w:val="20"/>
          <w:szCs w:val="20"/>
        </w:rPr>
        <w:t>CCM Alert</w:t>
      </w:r>
      <w:r w:rsidRPr="0040216E">
        <w:rPr>
          <w:rFonts w:ascii="Book Antiqua" w:hAnsi="Book Antiqua" w:cs="Times New Roman"/>
          <w:sz w:val="20"/>
          <w:szCs w:val="20"/>
        </w:rPr>
        <w:t>, please contact the following CCM author or your regular CCM contact.</w:t>
      </w:r>
    </w:p>
    <w:p w:rsidR="00C0639A" w:rsidRPr="0040216E" w:rsidRDefault="00C0639A" w:rsidP="00C0639A">
      <w:pPr>
        <w:tabs>
          <w:tab w:val="right" w:pos="9720"/>
        </w:tabs>
        <w:rPr>
          <w:rFonts w:ascii="Book Antiqua" w:hAnsi="Book Antiqua" w:cs="Times New Roman"/>
          <w:sz w:val="20"/>
          <w:szCs w:val="20"/>
        </w:rPr>
      </w:pPr>
      <w:r w:rsidRPr="0040216E">
        <w:rPr>
          <w:rFonts w:ascii="Book Antiqua" w:hAnsi="Book Antiqua" w:cs="Times New Roman"/>
          <w:sz w:val="20"/>
          <w:szCs w:val="20"/>
        </w:rPr>
        <w:t>Kenneth J. Vanko</w:t>
      </w:r>
      <w:r w:rsidRPr="0040216E">
        <w:rPr>
          <w:rFonts w:ascii="Book Antiqua" w:hAnsi="Book Antiqua" w:cs="Times New Roman"/>
          <w:sz w:val="20"/>
          <w:szCs w:val="20"/>
        </w:rPr>
        <w:br/>
        <w:t>Clingen Callow &amp; McLean, LLC</w:t>
      </w:r>
      <w:r w:rsidRPr="0040216E">
        <w:rPr>
          <w:rFonts w:ascii="Book Antiqua" w:hAnsi="Book Antiqua" w:cs="Times New Roman"/>
          <w:sz w:val="20"/>
          <w:szCs w:val="20"/>
        </w:rPr>
        <w:br/>
        <w:t xml:space="preserve">2300 </w:t>
      </w:r>
      <w:r w:rsidR="00D46F89" w:rsidRPr="0040216E">
        <w:rPr>
          <w:rFonts w:ascii="Book Antiqua" w:hAnsi="Book Antiqua" w:cs="Times New Roman"/>
          <w:sz w:val="20"/>
          <w:szCs w:val="20"/>
        </w:rPr>
        <w:t>Cabot Drive, Suite 500</w:t>
      </w:r>
      <w:r w:rsidR="00D46F89" w:rsidRPr="0040216E">
        <w:rPr>
          <w:rFonts w:ascii="Book Antiqua" w:hAnsi="Book Antiqua" w:cs="Times New Roman"/>
          <w:sz w:val="20"/>
          <w:szCs w:val="20"/>
        </w:rPr>
        <w:br/>
        <w:t>Lisle, Illinois</w:t>
      </w:r>
      <w:r w:rsidRPr="0040216E">
        <w:rPr>
          <w:rFonts w:ascii="Book Antiqua" w:hAnsi="Book Antiqua" w:cs="Times New Roman"/>
          <w:sz w:val="20"/>
          <w:szCs w:val="20"/>
        </w:rPr>
        <w:t xml:space="preserve"> 60532</w:t>
      </w:r>
      <w:r w:rsidRPr="0040216E">
        <w:rPr>
          <w:rFonts w:ascii="Book Antiqua" w:hAnsi="Book Antiqua" w:cs="Times New Roman"/>
          <w:sz w:val="20"/>
          <w:szCs w:val="20"/>
        </w:rPr>
        <w:br/>
      </w:r>
      <w:hyperlink r:id="rId8" w:history="1">
        <w:r w:rsidR="001E7C5B" w:rsidRPr="009F41AC">
          <w:rPr>
            <w:rStyle w:val="Hyperlink"/>
            <w:rFonts w:ascii="Book Antiqua" w:hAnsi="Book Antiqua" w:cs="Times New Roman"/>
            <w:sz w:val="20"/>
            <w:szCs w:val="20"/>
          </w:rPr>
          <w:t>www.ccmlawyer.com</w:t>
        </w:r>
      </w:hyperlink>
      <w:r w:rsidR="001E7C5B">
        <w:rPr>
          <w:rFonts w:ascii="Book Antiqua" w:hAnsi="Book Antiqua" w:cs="Times New Roman"/>
          <w:sz w:val="20"/>
          <w:szCs w:val="20"/>
        </w:rPr>
        <w:t xml:space="preserve"> </w:t>
      </w:r>
      <w:r w:rsidRPr="0040216E">
        <w:rPr>
          <w:rFonts w:ascii="Book Antiqua" w:hAnsi="Book Antiqua" w:cs="Times New Roman"/>
          <w:sz w:val="20"/>
          <w:szCs w:val="20"/>
        </w:rPr>
        <w:br/>
      </w:r>
      <w:r w:rsidR="00D46F89" w:rsidRPr="0040216E">
        <w:rPr>
          <w:rFonts w:ascii="Book Antiqua" w:hAnsi="Book Antiqua" w:cs="Times New Roman"/>
          <w:sz w:val="20"/>
          <w:szCs w:val="20"/>
        </w:rPr>
        <w:t>(</w:t>
      </w:r>
      <w:r w:rsidRPr="0040216E">
        <w:rPr>
          <w:rFonts w:ascii="Book Antiqua" w:hAnsi="Book Antiqua" w:cs="Times New Roman"/>
          <w:sz w:val="20"/>
          <w:szCs w:val="20"/>
        </w:rPr>
        <w:t>630</w:t>
      </w:r>
      <w:r w:rsidR="00D46F89" w:rsidRPr="0040216E">
        <w:rPr>
          <w:rFonts w:ascii="Book Antiqua" w:hAnsi="Book Antiqua" w:cs="Times New Roman"/>
          <w:sz w:val="20"/>
          <w:szCs w:val="20"/>
        </w:rPr>
        <w:t>) 871-</w:t>
      </w:r>
      <w:r w:rsidRPr="0040216E">
        <w:rPr>
          <w:rFonts w:ascii="Book Antiqua" w:hAnsi="Book Antiqua" w:cs="Times New Roman"/>
          <w:sz w:val="20"/>
          <w:szCs w:val="20"/>
        </w:rPr>
        <w:t>2609</w:t>
      </w:r>
    </w:p>
    <w:p w:rsidR="00C0639A" w:rsidRPr="0040216E" w:rsidRDefault="0040216E" w:rsidP="007167D2">
      <w:pPr>
        <w:tabs>
          <w:tab w:val="right" w:pos="9720"/>
        </w:tabs>
        <w:ind w:right="1800"/>
        <w:rPr>
          <w:rFonts w:ascii="Book Antiqua" w:hAnsi="Book Antiqua" w:cs="Times New Roman"/>
          <w:i/>
          <w:sz w:val="20"/>
          <w:szCs w:val="20"/>
        </w:rPr>
      </w:pPr>
      <w:r>
        <w:rPr>
          <w:rFonts w:ascii="Book Antiqua" w:hAnsi="Book Antiqua" w:cs="Times New Roman"/>
          <w:i/>
          <w:sz w:val="20"/>
          <w:szCs w:val="20"/>
        </w:rPr>
        <w:t>T</w:t>
      </w:r>
      <w:r w:rsidR="00C0639A" w:rsidRPr="0040216E">
        <w:rPr>
          <w:rFonts w:ascii="Book Antiqua" w:hAnsi="Book Antiqua" w:cs="Times New Roman"/>
          <w:i/>
          <w:sz w:val="20"/>
          <w:szCs w:val="20"/>
        </w:rPr>
        <w:t>he author,</w:t>
      </w:r>
      <w:r w:rsidR="00CC6078" w:rsidRPr="0040216E">
        <w:rPr>
          <w:rFonts w:ascii="Book Antiqua" w:hAnsi="Book Antiqua" w:cs="Times New Roman"/>
          <w:i/>
          <w:sz w:val="20"/>
          <w:szCs w:val="20"/>
        </w:rPr>
        <w:t xml:space="preserve"> publisher,</w:t>
      </w:r>
      <w:r w:rsidR="00C0639A" w:rsidRPr="0040216E">
        <w:rPr>
          <w:rFonts w:ascii="Book Antiqua" w:hAnsi="Book Antiqua" w:cs="Times New Roman"/>
          <w:i/>
          <w:sz w:val="20"/>
          <w:szCs w:val="20"/>
        </w:rPr>
        <w:t xml:space="preserve"> and distributor of this </w:t>
      </w:r>
      <w:r>
        <w:rPr>
          <w:rFonts w:ascii="Book Antiqua" w:hAnsi="Book Antiqua" w:cs="Times New Roman"/>
          <w:i/>
          <w:sz w:val="20"/>
          <w:szCs w:val="20"/>
        </w:rPr>
        <w:t>CCM Alert is</w:t>
      </w:r>
      <w:r w:rsidR="00C0639A" w:rsidRPr="0040216E">
        <w:rPr>
          <w:rFonts w:ascii="Book Antiqua" w:hAnsi="Book Antiqua" w:cs="Times New Roman"/>
          <w:i/>
          <w:sz w:val="20"/>
          <w:szCs w:val="20"/>
        </w:rPr>
        <w:t xml:space="preserve"> not rendering legal or other professional advice or opinions on specific fa</w:t>
      </w:r>
      <w:r>
        <w:rPr>
          <w:rFonts w:ascii="Book Antiqua" w:hAnsi="Book Antiqua" w:cs="Times New Roman"/>
          <w:i/>
          <w:sz w:val="20"/>
          <w:szCs w:val="20"/>
        </w:rPr>
        <w:t>c</w:t>
      </w:r>
      <w:r w:rsidR="00C0639A" w:rsidRPr="0040216E">
        <w:rPr>
          <w:rFonts w:ascii="Book Antiqua" w:hAnsi="Book Antiqua" w:cs="Times New Roman"/>
          <w:i/>
          <w:sz w:val="20"/>
          <w:szCs w:val="20"/>
        </w:rPr>
        <w:t>ts or matters</w:t>
      </w:r>
      <w:r>
        <w:rPr>
          <w:rFonts w:ascii="Book Antiqua" w:hAnsi="Book Antiqua" w:cs="Times New Roman"/>
          <w:i/>
          <w:sz w:val="20"/>
          <w:szCs w:val="20"/>
        </w:rPr>
        <w:t xml:space="preserve">. </w:t>
      </w:r>
      <w:r w:rsidR="00D46F89" w:rsidRPr="0040216E">
        <w:rPr>
          <w:rFonts w:ascii="Book Antiqua" w:hAnsi="Book Antiqua" w:cs="Times New Roman"/>
          <w:i/>
          <w:sz w:val="20"/>
          <w:szCs w:val="20"/>
        </w:rPr>
        <w:t>Under</w:t>
      </w:r>
      <w:r w:rsidR="00C0639A" w:rsidRPr="0040216E">
        <w:rPr>
          <w:rFonts w:ascii="Book Antiqua" w:hAnsi="Book Antiqua" w:cs="Times New Roman"/>
          <w:i/>
          <w:sz w:val="20"/>
          <w:szCs w:val="20"/>
        </w:rPr>
        <w:t xml:space="preserve"> applicable rules of professional conduct, this communication may constitute Attorney Advertising.</w:t>
      </w:r>
    </w:p>
    <w:p w:rsidR="00C0639A" w:rsidRPr="0040216E" w:rsidRDefault="00C0639A" w:rsidP="00C0639A">
      <w:pPr>
        <w:tabs>
          <w:tab w:val="right" w:pos="9720"/>
        </w:tabs>
        <w:rPr>
          <w:rFonts w:ascii="Book Antiqua" w:hAnsi="Book Antiqua" w:cs="Times New Roman"/>
          <w:i/>
          <w:sz w:val="20"/>
          <w:szCs w:val="20"/>
        </w:rPr>
      </w:pPr>
      <w:r w:rsidRPr="0040216E">
        <w:rPr>
          <w:rFonts w:ascii="Book Antiqua" w:hAnsi="Book Antiqua" w:cs="Times New Roman"/>
          <w:i/>
          <w:sz w:val="20"/>
          <w:szCs w:val="20"/>
        </w:rPr>
        <w:t>© 201</w:t>
      </w:r>
      <w:r w:rsidR="0040216E">
        <w:rPr>
          <w:rFonts w:ascii="Book Antiqua" w:hAnsi="Book Antiqua" w:cs="Times New Roman"/>
          <w:i/>
          <w:sz w:val="20"/>
          <w:szCs w:val="20"/>
        </w:rPr>
        <w:t>7</w:t>
      </w:r>
      <w:r w:rsidRPr="0040216E">
        <w:rPr>
          <w:rFonts w:ascii="Book Antiqua" w:hAnsi="Book Antiqua" w:cs="Times New Roman"/>
          <w:i/>
          <w:sz w:val="20"/>
          <w:szCs w:val="20"/>
        </w:rPr>
        <w:t xml:space="preserve"> Clingen Callow &amp; McLean, LLC.  All rights reserved.</w:t>
      </w:r>
    </w:p>
    <w:p w:rsidR="00C0639A" w:rsidRPr="0040216E" w:rsidRDefault="00C0639A" w:rsidP="007167D2">
      <w:pPr>
        <w:ind w:right="2520"/>
        <w:jc w:val="center"/>
        <w:rPr>
          <w:rFonts w:ascii="Book Antiqua" w:hAnsi="Book Antiqua" w:cs="Times New Roman"/>
          <w:sz w:val="28"/>
          <w:szCs w:val="28"/>
        </w:rPr>
      </w:pPr>
      <w:r w:rsidRPr="0040216E">
        <w:rPr>
          <w:rFonts w:ascii="Book Antiqua" w:hAnsi="Book Antiqua" w:cs="Times New Roman"/>
          <w:sz w:val="28"/>
          <w:szCs w:val="28"/>
        </w:rPr>
        <w:t>ccmlawyer.com</w:t>
      </w:r>
    </w:p>
    <w:sectPr w:rsidR="00C0639A" w:rsidRPr="0040216E" w:rsidSect="004C4449">
      <w:headerReference w:type="default" r:id="rId9"/>
      <w:headerReference w:type="first" r:id="rId10"/>
      <w:footerReference w:type="first" r:id="rId11"/>
      <w:pgSz w:w="12240" w:h="15840" w:code="1"/>
      <w:pgMar w:top="2880" w:right="144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3A0" w:rsidRDefault="001873A0" w:rsidP="0057254D">
      <w:pPr>
        <w:spacing w:after="0" w:line="240" w:lineRule="auto"/>
      </w:pPr>
      <w:r>
        <w:separator/>
      </w:r>
    </w:p>
  </w:endnote>
  <w:endnote w:type="continuationSeparator" w:id="0">
    <w:p w:rsidR="001873A0" w:rsidRDefault="001873A0" w:rsidP="0057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23B" w:rsidRPr="00C706BF" w:rsidRDefault="00BD723B" w:rsidP="00C706BF">
    <w:pPr>
      <w:pStyle w:val="Footer"/>
      <w:ind w:right="-720"/>
      <w:rPr>
        <w:rFonts w:ascii="Century Gothic" w:hAnsi="Century Gothic" w:cs="Times New Roman"/>
        <w:sz w:val="20"/>
        <w:szCs w:val="20"/>
      </w:rPr>
    </w:pPr>
    <w:r w:rsidRPr="00C706BF">
      <w:rPr>
        <w:rFonts w:ascii="Century Gothic" w:hAnsi="Century Gothic" w:cs="Times New Roman"/>
        <w:sz w:val="20"/>
        <w:szCs w:val="20"/>
      </w:rPr>
      <w:t>Attorney Advertising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3A0" w:rsidRDefault="001873A0" w:rsidP="0057254D">
      <w:pPr>
        <w:spacing w:after="0" w:line="240" w:lineRule="auto"/>
      </w:pPr>
      <w:r>
        <w:separator/>
      </w:r>
    </w:p>
  </w:footnote>
  <w:footnote w:type="continuationSeparator" w:id="0">
    <w:p w:rsidR="001873A0" w:rsidRDefault="001873A0" w:rsidP="0057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6D5" w:rsidRDefault="00BE76D5" w:rsidP="004C4449">
    <w:pPr>
      <w:pStyle w:val="Header"/>
      <w:rPr>
        <w:rFonts w:ascii="Century Gothic" w:hAnsi="Century Gothic"/>
        <w:sz w:val="24"/>
        <w:szCs w:val="24"/>
      </w:rPr>
    </w:pPr>
  </w:p>
  <w:p w:rsidR="00BE76D5" w:rsidRDefault="00BE76D5" w:rsidP="004C4449">
    <w:pPr>
      <w:pStyle w:val="Header"/>
      <w:rPr>
        <w:rFonts w:ascii="Century Gothic" w:hAnsi="Century Gothic"/>
        <w:sz w:val="24"/>
        <w:szCs w:val="24"/>
      </w:rPr>
    </w:pPr>
  </w:p>
  <w:p w:rsidR="00BE76D5" w:rsidRDefault="00BE76D5" w:rsidP="004C4449">
    <w:pPr>
      <w:pStyle w:val="Header"/>
      <w:rPr>
        <w:rFonts w:ascii="Century Gothic" w:hAnsi="Century Gothic"/>
        <w:sz w:val="24"/>
        <w:szCs w:val="24"/>
      </w:rPr>
    </w:pPr>
  </w:p>
  <w:p w:rsidR="007167D2" w:rsidRDefault="007167D2" w:rsidP="004C4449">
    <w:pPr>
      <w:pStyle w:val="Header"/>
      <w:rPr>
        <w:rFonts w:ascii="Century Gothic" w:hAnsi="Century Gothic"/>
        <w:sz w:val="24"/>
        <w:szCs w:val="24"/>
      </w:rPr>
    </w:pPr>
  </w:p>
  <w:p w:rsidR="00ED62FC" w:rsidRPr="004C4449" w:rsidRDefault="007167D2" w:rsidP="004C4449">
    <w:pPr>
      <w:pStyle w:val="Header"/>
      <w:rPr>
        <w:rFonts w:ascii="Century Gothic" w:hAnsi="Century Gothic"/>
        <w:sz w:val="24"/>
        <w:szCs w:val="24"/>
      </w:rPr>
    </w:pPr>
    <w:r w:rsidRPr="00BE76D5">
      <w:rPr>
        <w:rFonts w:ascii="Century Gothic" w:hAnsi="Century Gothic"/>
        <w:noProof/>
        <w:sz w:val="24"/>
        <w:szCs w:val="24"/>
      </w:rPr>
      <mc:AlternateContent>
        <mc:Choice Requires="wps">
          <w:drawing>
            <wp:anchor distT="0" distB="0" distL="114300" distR="114300" simplePos="0" relativeHeight="251669504" behindDoc="0" locked="0" layoutInCell="1" allowOverlap="1" wp14:anchorId="621C4146" wp14:editId="71010F04">
              <wp:simplePos x="0" y="0"/>
              <wp:positionH relativeFrom="column">
                <wp:posOffset>3945890</wp:posOffset>
              </wp:positionH>
              <wp:positionV relativeFrom="paragraph">
                <wp:posOffset>3564577</wp:posOffset>
              </wp:positionV>
              <wp:extent cx="4404360" cy="472440"/>
              <wp:effectExtent l="3810" t="0" r="0" b="0"/>
              <wp:wrapNone/>
              <wp:docPr id="9" name="Text Box 9"/>
              <wp:cNvGraphicFramePr/>
              <a:graphic xmlns:a="http://schemas.openxmlformats.org/drawingml/2006/main">
                <a:graphicData uri="http://schemas.microsoft.com/office/word/2010/wordprocessingShape">
                  <wps:wsp>
                    <wps:cNvSpPr txBox="1"/>
                    <wps:spPr>
                      <a:xfrm rot="5400000">
                        <a:off x="0" y="0"/>
                        <a:ext cx="4404360" cy="472440"/>
                      </a:xfrm>
                      <a:prstGeom prst="rect">
                        <a:avLst/>
                      </a:prstGeom>
                      <a:noFill/>
                      <a:ln w="6350">
                        <a:noFill/>
                      </a:ln>
                    </wps:spPr>
                    <wps:txbx>
                      <w:txbxContent>
                        <w:p w:rsidR="00BE76D5" w:rsidRPr="00C706BF" w:rsidRDefault="00BE76D5" w:rsidP="00BE76D5">
                          <w:pPr>
                            <w:rPr>
                              <w:rFonts w:ascii="Century Gothic" w:hAnsi="Century Gothic"/>
                              <w:color w:val="FFFFFF" w:themeColor="background1"/>
                              <w:sz w:val="44"/>
                              <w:szCs w:val="44"/>
                            </w:rPr>
                          </w:pPr>
                          <w:r w:rsidRPr="00C706BF">
                            <w:rPr>
                              <w:rFonts w:ascii="Century Gothic" w:hAnsi="Century Gothic"/>
                              <w:color w:val="FFFFFF" w:themeColor="background1"/>
                              <w:sz w:val="44"/>
                              <w:szCs w:val="44"/>
                            </w:rPr>
                            <w:t>Clingen Callow &amp; McLean,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4146" id="_x0000_t202" coordsize="21600,21600" o:spt="202" path="m,l,21600r21600,l21600,xe">
              <v:stroke joinstyle="miter"/>
              <v:path gradientshapeok="t" o:connecttype="rect"/>
            </v:shapetype>
            <v:shape id="Text Box 9" o:spid="_x0000_s1028" type="#_x0000_t202" style="position:absolute;margin-left:310.7pt;margin-top:280.7pt;width:346.8pt;height:37.2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" filled="f" stroked="f" strokeweight=".5pt">
              <v:textbox>
                <w:txbxContent>
                  <w:p w:rsidR="00BE76D5" w:rsidRPr="00C706BF" w:rsidRDefault="00BE76D5" w:rsidP="00BE76D5">
                    <w:pPr>
                      <w:rPr>
                        <w:rFonts w:ascii="Century Gothic" w:hAnsi="Century Gothic"/>
                        <w:color w:val="FFFFFF" w:themeColor="background1"/>
                        <w:sz w:val="44"/>
                        <w:szCs w:val="44"/>
                      </w:rPr>
                    </w:pPr>
                    <w:r w:rsidRPr="00C706BF">
                      <w:rPr>
                        <w:rFonts w:ascii="Century Gothic" w:hAnsi="Century Gothic"/>
                        <w:color w:val="FFFFFF" w:themeColor="background1"/>
                        <w:sz w:val="44"/>
                        <w:szCs w:val="44"/>
                      </w:rPr>
                      <w:t>Clingen Callow &amp; McLean, LLC</w:t>
                    </w:r>
                  </w:p>
                </w:txbxContent>
              </v:textbox>
            </v:shape>
          </w:pict>
        </mc:Fallback>
      </mc:AlternateContent>
    </w:r>
    <w:r w:rsidRPr="00BE76D5">
      <w:rPr>
        <w:rFonts w:ascii="Century Gothic" w:hAnsi="Century Gothic"/>
        <w:noProof/>
        <w:sz w:val="24"/>
        <w:szCs w:val="24"/>
      </w:rPr>
      <mc:AlternateContent>
        <mc:Choice Requires="wps">
          <w:drawing>
            <wp:anchor distT="0" distB="0" distL="114300" distR="114300" simplePos="0" relativeHeight="251668480" behindDoc="1" locked="0" layoutInCell="1" allowOverlap="1" wp14:anchorId="675F3CB7" wp14:editId="4BA938AF">
              <wp:simplePos x="0" y="0"/>
              <wp:positionH relativeFrom="page">
                <wp:posOffset>1789113</wp:posOffset>
              </wp:positionH>
              <wp:positionV relativeFrom="paragraph">
                <wp:posOffset>2900362</wp:posOffset>
              </wp:positionV>
              <wp:extent cx="10069830" cy="1887855"/>
              <wp:effectExtent l="0" t="4763" r="2858" b="2857"/>
              <wp:wrapNone/>
              <wp:docPr id="8" name="Rectangle 8"/>
              <wp:cNvGraphicFramePr/>
              <a:graphic xmlns:a="http://schemas.openxmlformats.org/drawingml/2006/main">
                <a:graphicData uri="http://schemas.microsoft.com/office/word/2010/wordprocessingShape">
                  <wps:wsp>
                    <wps:cNvSpPr/>
                    <wps:spPr>
                      <a:xfrm rot="5400000">
                        <a:off x="0" y="0"/>
                        <a:ext cx="10069830" cy="188785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210C6" id="Rectangle 8" o:spid="_x0000_s1026" style="position:absolute;margin-left:140.9pt;margin-top:228.35pt;width:792.9pt;height:148.65pt;rotation:9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" fillcolor="#b4c6e7 [1304]" stroked="f" strokeweight="1pt">
              <w10:wrap anchorx="page"/>
            </v:rect>
          </w:pict>
        </mc:Fallback>
      </mc:AlternateContent>
    </w:r>
    <w:r w:rsidRPr="00C706BF">
      <w:rPr>
        <w:rFonts w:ascii="Century Gothic" w:hAnsi="Century Gothic"/>
        <w:noProof/>
        <w:color w:val="FFFFFF" w:themeColor="background1"/>
        <w:sz w:val="24"/>
        <w:szCs w:val="24"/>
      </w:rPr>
      <mc:AlternateContent>
        <mc:Choice Requires="wps">
          <w:drawing>
            <wp:anchor distT="0" distB="0" distL="114300" distR="114300" simplePos="0" relativeHeight="251670528" behindDoc="1" locked="0" layoutInCell="1" allowOverlap="1" wp14:anchorId="0AC36F37" wp14:editId="068E53F8">
              <wp:simplePos x="0" y="0"/>
              <wp:positionH relativeFrom="page">
                <wp:posOffset>16510</wp:posOffset>
              </wp:positionH>
              <wp:positionV relativeFrom="paragraph">
                <wp:posOffset>274320</wp:posOffset>
              </wp:positionV>
              <wp:extent cx="7757160" cy="106680"/>
              <wp:effectExtent l="0" t="0" r="15240" b="26670"/>
              <wp:wrapNone/>
              <wp:docPr id="3" name="Rectangle 3"/>
              <wp:cNvGraphicFramePr/>
              <a:graphic xmlns:a="http://schemas.openxmlformats.org/drawingml/2006/main">
                <a:graphicData uri="http://schemas.microsoft.com/office/word/2010/wordprocessingShape">
                  <wps:wsp>
                    <wps:cNvSpPr/>
                    <wps:spPr>
                      <a:xfrm>
                        <a:off x="0" y="0"/>
                        <a:ext cx="7757160" cy="1066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9DC18" id="Rectangle 3" o:spid="_x0000_s1026" style="position:absolute;margin-left:1.3pt;margin-top:21.6pt;width:610.8pt;height:8.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" fillcolor="black [3213]" strokecolor="black [3213]" strokeweight="1pt">
              <w10:wrap anchorx="page"/>
            </v:rect>
          </w:pict>
        </mc:Fallback>
      </mc:AlternateContent>
    </w:r>
    <w:r w:rsidR="004C4449" w:rsidRPr="00C706BF">
      <w:rPr>
        <w:rFonts w:ascii="Century Gothic" w:hAnsi="Century Gothic"/>
        <w:sz w:val="24"/>
        <w:szCs w:val="24"/>
      </w:rPr>
      <w:t>CCM ALERT</w:t>
    </w:r>
    <w:r w:rsidR="004C4449" w:rsidRPr="004C4449">
      <w:rPr>
        <w:rFonts w:ascii="Century Gothic" w:hAnsi="Century Gothic"/>
        <w:b/>
        <w:sz w:val="24"/>
        <w:szCs w:val="24"/>
      </w:rPr>
      <w:t xml:space="preserve"> </w:t>
    </w:r>
    <w:r w:rsidR="004C4449" w:rsidRPr="004C4449">
      <w:rPr>
        <w:rFonts w:ascii="Century Gothic" w:hAnsi="Century Gothic"/>
        <w:sz w:val="24"/>
        <w:szCs w:val="24"/>
      </w:rPr>
      <w:t xml:space="preserve">| </w:t>
    </w:r>
    <w:r w:rsidR="00C706BF">
      <w:rPr>
        <w:rFonts w:ascii="Century Gothic" w:hAnsi="Century Gothic"/>
        <w:sz w:val="24"/>
        <w:szCs w:val="24"/>
      </w:rPr>
      <w:t xml:space="preserve">Page </w:t>
    </w:r>
    <w:r w:rsidR="004C4449" w:rsidRPr="004C4449">
      <w:rPr>
        <w:rFonts w:ascii="Century Gothic" w:hAnsi="Century Gothic"/>
        <w:sz w:val="24"/>
        <w:szCs w:val="24"/>
      </w:rPr>
      <w:fldChar w:fldCharType="begin"/>
    </w:r>
    <w:r w:rsidR="004C4449" w:rsidRPr="004C4449">
      <w:rPr>
        <w:rFonts w:ascii="Century Gothic" w:hAnsi="Century Gothic"/>
        <w:sz w:val="24"/>
        <w:szCs w:val="24"/>
      </w:rPr>
      <w:instrText xml:space="preserve"> PAGE   \* MERGEFORMAT </w:instrText>
    </w:r>
    <w:r w:rsidR="004C4449" w:rsidRPr="004C4449">
      <w:rPr>
        <w:rFonts w:ascii="Century Gothic" w:hAnsi="Century Gothic"/>
        <w:sz w:val="24"/>
        <w:szCs w:val="24"/>
      </w:rPr>
      <w:fldChar w:fldCharType="separate"/>
    </w:r>
    <w:r w:rsidR="00573EAC">
      <w:rPr>
        <w:rFonts w:ascii="Century Gothic" w:hAnsi="Century Gothic"/>
        <w:noProof/>
        <w:sz w:val="24"/>
        <w:szCs w:val="24"/>
      </w:rPr>
      <w:t>3</w:t>
    </w:r>
    <w:r w:rsidR="004C4449" w:rsidRPr="004C4449">
      <w:rPr>
        <w:rFonts w:ascii="Century Gothic" w:hAnsi="Century Gothic"/>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6BF" w:rsidRDefault="00C706BF" w:rsidP="004C4449">
    <w:pPr>
      <w:pStyle w:val="Header"/>
      <w:tabs>
        <w:tab w:val="clear" w:pos="9360"/>
      </w:tabs>
      <w:ind w:right="-1170"/>
      <w:rPr>
        <w:rFonts w:ascii="Century Gothic" w:hAnsi="Century Gothic"/>
        <w:sz w:val="32"/>
        <w:szCs w:val="32"/>
      </w:rPr>
    </w:pPr>
  </w:p>
  <w:p w:rsidR="00C706BF" w:rsidRPr="00C706BF" w:rsidRDefault="00C706BF" w:rsidP="004C4449">
    <w:pPr>
      <w:pStyle w:val="Header"/>
      <w:tabs>
        <w:tab w:val="clear" w:pos="9360"/>
      </w:tabs>
      <w:ind w:right="-1170"/>
      <w:rPr>
        <w:rFonts w:ascii="Century Gothic" w:hAnsi="Century Gothic"/>
        <w:sz w:val="32"/>
        <w:szCs w:val="32"/>
      </w:rPr>
    </w:pPr>
  </w:p>
  <w:p w:rsidR="00C706BF" w:rsidRPr="00C706BF" w:rsidRDefault="004C4449" w:rsidP="004C4449">
    <w:pPr>
      <w:pStyle w:val="Header"/>
      <w:tabs>
        <w:tab w:val="clear" w:pos="9360"/>
      </w:tabs>
      <w:ind w:right="-1166"/>
      <w:rPr>
        <w:rFonts w:ascii="Century Gothic" w:hAnsi="Century Gothic"/>
        <w:sz w:val="52"/>
        <w:szCs w:val="52"/>
      </w:rPr>
    </w:pPr>
    <w:r w:rsidRPr="00C706BF">
      <w:rPr>
        <w:rFonts w:ascii="Century Gothic" w:hAnsi="Century Gothic"/>
        <w:noProof/>
        <w:sz w:val="52"/>
        <w:szCs w:val="52"/>
      </w:rPr>
      <mc:AlternateContent>
        <mc:Choice Requires="wps">
          <w:drawing>
            <wp:anchor distT="0" distB="0" distL="114300" distR="114300" simplePos="0" relativeHeight="251660288" behindDoc="1" locked="0" layoutInCell="1" allowOverlap="1" wp14:anchorId="754C4968" wp14:editId="0AA908C8">
              <wp:simplePos x="0" y="0"/>
              <wp:positionH relativeFrom="page">
                <wp:align>right</wp:align>
              </wp:positionH>
              <wp:positionV relativeFrom="paragraph">
                <wp:posOffset>400685</wp:posOffset>
              </wp:positionV>
              <wp:extent cx="7757160" cy="2133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7757160" cy="21336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7A750" id="Rectangle 2" o:spid="_x0000_s1026" style="position:absolute;margin-left:559.6pt;margin-top:31.55pt;width:610.8pt;height:16.8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" fillcolor="black [3213]" strokecolor="black [3213]" strokeweight="1pt">
              <w10:wrap anchorx="page"/>
            </v:rect>
          </w:pict>
        </mc:Fallback>
      </mc:AlternateContent>
    </w:r>
    <w:r w:rsidRPr="00C706BF">
      <w:rPr>
        <w:rFonts w:ascii="Century Gothic" w:hAnsi="Century Gothic"/>
        <w:sz w:val="52"/>
        <w:szCs w:val="52"/>
      </w:rPr>
      <w:t>CCM ALERT</w:t>
    </w:r>
  </w:p>
  <w:p w:rsidR="004C4449" w:rsidRPr="00ED62FC" w:rsidRDefault="0040216E" w:rsidP="004C4449">
    <w:pPr>
      <w:pStyle w:val="Header"/>
      <w:tabs>
        <w:tab w:val="clear" w:pos="9360"/>
      </w:tabs>
      <w:ind w:right="-720"/>
      <w:jc w:val="right"/>
      <w:rPr>
        <w:rFonts w:ascii="Century Gothic" w:hAnsi="Century Gothic"/>
        <w:sz w:val="24"/>
        <w:szCs w:val="24"/>
      </w:rPr>
    </w:pPr>
    <w:r>
      <w:rPr>
        <w:rFonts w:ascii="Century Gothic" w:hAnsi="Century Gothic"/>
        <w:color w:val="FFFFFF" w:themeColor="background1"/>
        <w:sz w:val="24"/>
        <w:szCs w:val="24"/>
      </w:rPr>
      <w:fldChar w:fldCharType="begin"/>
    </w:r>
    <w:r>
      <w:rPr>
        <w:rFonts w:ascii="Century Gothic" w:hAnsi="Century Gothic"/>
        <w:color w:val="FFFFFF" w:themeColor="background1"/>
        <w:sz w:val="24"/>
        <w:szCs w:val="24"/>
      </w:rPr>
      <w:instrText xml:space="preserve"> DATE \@ "MMMM d, yyyy" </w:instrText>
    </w:r>
    <w:r>
      <w:rPr>
        <w:rFonts w:ascii="Century Gothic" w:hAnsi="Century Gothic"/>
        <w:color w:val="FFFFFF" w:themeColor="background1"/>
        <w:sz w:val="24"/>
        <w:szCs w:val="24"/>
      </w:rPr>
      <w:fldChar w:fldCharType="separate"/>
    </w:r>
    <w:r w:rsidR="00AF52F0">
      <w:rPr>
        <w:rFonts w:ascii="Century Gothic" w:hAnsi="Century Gothic"/>
        <w:noProof/>
        <w:color w:val="FFFFFF" w:themeColor="background1"/>
        <w:sz w:val="24"/>
        <w:szCs w:val="24"/>
      </w:rPr>
      <w:t>June 24, 2017</w:t>
    </w:r>
    <w:r>
      <w:rPr>
        <w:rFonts w:ascii="Century Gothic" w:hAnsi="Century Gothic"/>
        <w:color w:val="FFFFFF" w:themeColor="background1"/>
        <w:sz w:val="24"/>
        <w:szCs w:val="24"/>
      </w:rPr>
      <w:fldChar w:fldCharType="end"/>
    </w:r>
  </w:p>
  <w:p w:rsidR="004C4449" w:rsidRDefault="00BE76D5">
    <w:pPr>
      <w:pStyle w:val="Header"/>
    </w:pPr>
    <w:r w:rsidRPr="00C706BF">
      <w:rPr>
        <w:noProof/>
      </w:rPr>
      <mc:AlternateContent>
        <mc:Choice Requires="wps">
          <w:drawing>
            <wp:anchor distT="0" distB="0" distL="114300" distR="114300" simplePos="0" relativeHeight="251666432" behindDoc="0" locked="0" layoutInCell="1" allowOverlap="1" wp14:anchorId="3A617A04" wp14:editId="4892C584">
              <wp:simplePos x="0" y="0"/>
              <wp:positionH relativeFrom="column">
                <wp:posOffset>3901440</wp:posOffset>
              </wp:positionH>
              <wp:positionV relativeFrom="paragraph">
                <wp:posOffset>3169285</wp:posOffset>
              </wp:positionV>
              <wp:extent cx="4404360" cy="472440"/>
              <wp:effectExtent l="3810" t="0" r="0" b="0"/>
              <wp:wrapNone/>
              <wp:docPr id="5" name="Text Box 5"/>
              <wp:cNvGraphicFramePr/>
              <a:graphic xmlns:a="http://schemas.openxmlformats.org/drawingml/2006/main">
                <a:graphicData uri="http://schemas.microsoft.com/office/word/2010/wordprocessingShape">
                  <wps:wsp>
                    <wps:cNvSpPr txBox="1"/>
                    <wps:spPr>
                      <a:xfrm rot="5400000">
                        <a:off x="0" y="0"/>
                        <a:ext cx="4404360" cy="472440"/>
                      </a:xfrm>
                      <a:prstGeom prst="rect">
                        <a:avLst/>
                      </a:prstGeom>
                      <a:noFill/>
                      <a:ln w="6350">
                        <a:noFill/>
                      </a:ln>
                    </wps:spPr>
                    <wps:txbx>
                      <w:txbxContent>
                        <w:p w:rsidR="00BE76D5" w:rsidRPr="00C706BF" w:rsidRDefault="00BE76D5" w:rsidP="00BE76D5">
                          <w:pPr>
                            <w:rPr>
                              <w:rFonts w:ascii="Century Gothic" w:hAnsi="Century Gothic"/>
                              <w:color w:val="FFFFFF" w:themeColor="background1"/>
                              <w:sz w:val="44"/>
                              <w:szCs w:val="44"/>
                            </w:rPr>
                          </w:pPr>
                          <w:r w:rsidRPr="00C706BF">
                            <w:rPr>
                              <w:rFonts w:ascii="Century Gothic" w:hAnsi="Century Gothic"/>
                              <w:color w:val="FFFFFF" w:themeColor="background1"/>
                              <w:sz w:val="44"/>
                              <w:szCs w:val="44"/>
                            </w:rPr>
                            <w:t>Clingen Callow &amp; McLean,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17A04" id="_x0000_t202" coordsize="21600,21600" o:spt="202" path="m,l,21600r21600,l21600,xe">
              <v:stroke joinstyle="miter"/>
              <v:path gradientshapeok="t" o:connecttype="rect"/>
            </v:shapetype>
            <v:shape id="Text Box 5" o:spid="_x0000_s1029" type="#_x0000_t202" style="position:absolute;margin-left:307.2pt;margin-top:249.55pt;width:346.8pt;height:37.2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" filled="f" stroked="f" strokeweight=".5pt">
              <v:textbox>
                <w:txbxContent>
                  <w:p w:rsidR="00BE76D5" w:rsidRPr="00C706BF" w:rsidRDefault="00BE76D5" w:rsidP="00BE76D5">
                    <w:pPr>
                      <w:rPr>
                        <w:rFonts w:ascii="Century Gothic" w:hAnsi="Century Gothic"/>
                        <w:color w:val="FFFFFF" w:themeColor="background1"/>
                        <w:sz w:val="44"/>
                        <w:szCs w:val="44"/>
                      </w:rPr>
                    </w:pPr>
                    <w:r w:rsidRPr="00C706BF">
                      <w:rPr>
                        <w:rFonts w:ascii="Century Gothic" w:hAnsi="Century Gothic"/>
                        <w:color w:val="FFFFFF" w:themeColor="background1"/>
                        <w:sz w:val="44"/>
                        <w:szCs w:val="44"/>
                      </w:rPr>
                      <w:t>Clingen Callow &amp; McLean, LLC</w:t>
                    </w:r>
                  </w:p>
                </w:txbxContent>
              </v:textbox>
            </v:shape>
          </w:pict>
        </mc:Fallback>
      </mc:AlternateContent>
    </w:r>
    <w:r w:rsidR="00C706BF" w:rsidRPr="0057254D">
      <w:rPr>
        <w:rFonts w:ascii="Century Gothic" w:hAnsi="Century Gothic"/>
        <w:noProof/>
        <w:color w:val="FFFFFF" w:themeColor="background1"/>
        <w:sz w:val="32"/>
        <w:szCs w:val="32"/>
      </w:rPr>
      <mc:AlternateContent>
        <mc:Choice Requires="wps">
          <w:drawing>
            <wp:anchor distT="0" distB="0" distL="114300" distR="114300" simplePos="0" relativeHeight="251659264" behindDoc="1" locked="0" layoutInCell="1" allowOverlap="1" wp14:anchorId="0417C81D" wp14:editId="1F64B3A3">
              <wp:simplePos x="0" y="0"/>
              <wp:positionH relativeFrom="page">
                <wp:posOffset>1776413</wp:posOffset>
              </wp:positionH>
              <wp:positionV relativeFrom="paragraph">
                <wp:posOffset>2530157</wp:posOffset>
              </wp:positionV>
              <wp:extent cx="10069830" cy="1887855"/>
              <wp:effectExtent l="0" t="4763" r="2858" b="2857"/>
              <wp:wrapNone/>
              <wp:docPr id="1" name="Rectangle 1"/>
              <wp:cNvGraphicFramePr/>
              <a:graphic xmlns:a="http://schemas.openxmlformats.org/drawingml/2006/main">
                <a:graphicData uri="http://schemas.microsoft.com/office/word/2010/wordprocessingShape">
                  <wps:wsp>
                    <wps:cNvSpPr/>
                    <wps:spPr>
                      <a:xfrm rot="5400000">
                        <a:off x="0" y="0"/>
                        <a:ext cx="10069830" cy="188785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2CC19" id="Rectangle 1" o:spid="_x0000_s1026" style="position:absolute;margin-left:139.9pt;margin-top:199.2pt;width:792.9pt;height:148.65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" fillcolor="#b4c6e7 [130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2CED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F00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B208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2CCE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DA9D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2C1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0820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B6AA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1084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96F1D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4D"/>
    <w:rsid w:val="000D58B1"/>
    <w:rsid w:val="001873A0"/>
    <w:rsid w:val="001A59AF"/>
    <w:rsid w:val="001E7C5B"/>
    <w:rsid w:val="003722FB"/>
    <w:rsid w:val="0040216E"/>
    <w:rsid w:val="004C4449"/>
    <w:rsid w:val="005068F5"/>
    <w:rsid w:val="00563B9C"/>
    <w:rsid w:val="0057254D"/>
    <w:rsid w:val="00573EAC"/>
    <w:rsid w:val="005C4809"/>
    <w:rsid w:val="00621AB2"/>
    <w:rsid w:val="007167D2"/>
    <w:rsid w:val="00757F36"/>
    <w:rsid w:val="007B34DB"/>
    <w:rsid w:val="00964A2E"/>
    <w:rsid w:val="00AF52F0"/>
    <w:rsid w:val="00BC4B6D"/>
    <w:rsid w:val="00BD723B"/>
    <w:rsid w:val="00BE76D5"/>
    <w:rsid w:val="00C0639A"/>
    <w:rsid w:val="00C33E53"/>
    <w:rsid w:val="00C706BF"/>
    <w:rsid w:val="00CC6078"/>
    <w:rsid w:val="00D46F89"/>
    <w:rsid w:val="00D871AD"/>
    <w:rsid w:val="00DD7773"/>
    <w:rsid w:val="00EC32FC"/>
    <w:rsid w:val="00ED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731C5-73DF-474D-8CF0-2E383426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4D"/>
  </w:style>
  <w:style w:type="paragraph" w:styleId="Footer">
    <w:name w:val="footer"/>
    <w:basedOn w:val="Normal"/>
    <w:link w:val="FooterChar"/>
    <w:uiPriority w:val="99"/>
    <w:unhideWhenUsed/>
    <w:rsid w:val="00572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4D"/>
  </w:style>
  <w:style w:type="paragraph" w:styleId="Title">
    <w:name w:val="Title"/>
    <w:basedOn w:val="Normal"/>
    <w:next w:val="Normal"/>
    <w:link w:val="TitleChar"/>
    <w:uiPriority w:val="10"/>
    <w:qFormat/>
    <w:rsid w:val="00C706BF"/>
    <w:pPr>
      <w:keepNext/>
      <w:spacing w:after="240" w:line="240" w:lineRule="auto"/>
      <w:ind w:right="2880"/>
      <w:contextualSpacing/>
    </w:pPr>
    <w:rPr>
      <w:rFonts w:ascii="Garamond" w:eastAsiaTheme="majorEastAsia" w:hAnsi="Garamond" w:cstheme="majorBidi"/>
      <w:spacing w:val="-10"/>
      <w:kern w:val="28"/>
      <w:sz w:val="40"/>
      <w:szCs w:val="56"/>
    </w:rPr>
  </w:style>
  <w:style w:type="character" w:customStyle="1" w:styleId="TitleChar">
    <w:name w:val="Title Char"/>
    <w:basedOn w:val="DefaultParagraphFont"/>
    <w:link w:val="Title"/>
    <w:uiPriority w:val="10"/>
    <w:rsid w:val="00C706BF"/>
    <w:rPr>
      <w:rFonts w:ascii="Garamond" w:eastAsiaTheme="majorEastAsia" w:hAnsi="Garamond" w:cstheme="majorBidi"/>
      <w:spacing w:val="-10"/>
      <w:kern w:val="28"/>
      <w:sz w:val="40"/>
      <w:szCs w:val="56"/>
    </w:rPr>
  </w:style>
  <w:style w:type="paragraph" w:styleId="BodyText">
    <w:name w:val="Body Text"/>
    <w:basedOn w:val="Normal"/>
    <w:link w:val="BodyTextChar"/>
    <w:uiPriority w:val="99"/>
    <w:unhideWhenUsed/>
    <w:rsid w:val="00C706BF"/>
    <w:pPr>
      <w:spacing w:after="240" w:line="240" w:lineRule="auto"/>
      <w:ind w:right="2520"/>
    </w:pPr>
    <w:rPr>
      <w:rFonts w:ascii="Garamond" w:hAnsi="Garamond"/>
      <w:sz w:val="24"/>
    </w:rPr>
  </w:style>
  <w:style w:type="character" w:customStyle="1" w:styleId="BodyTextChar">
    <w:name w:val="Body Text Char"/>
    <w:basedOn w:val="DefaultParagraphFont"/>
    <w:link w:val="BodyText"/>
    <w:uiPriority w:val="99"/>
    <w:rsid w:val="00C706BF"/>
    <w:rPr>
      <w:rFonts w:ascii="Garamond" w:hAnsi="Garamond"/>
      <w:sz w:val="24"/>
    </w:rPr>
  </w:style>
  <w:style w:type="paragraph" w:styleId="Subtitle">
    <w:name w:val="Subtitle"/>
    <w:basedOn w:val="Normal"/>
    <w:next w:val="Normal"/>
    <w:link w:val="SubtitleChar"/>
    <w:uiPriority w:val="11"/>
    <w:qFormat/>
    <w:rsid w:val="00C706BF"/>
    <w:pPr>
      <w:keepNext/>
      <w:numPr>
        <w:ilvl w:val="1"/>
      </w:numPr>
      <w:spacing w:after="240" w:line="240" w:lineRule="auto"/>
    </w:pPr>
    <w:rPr>
      <w:rFonts w:ascii="Garamond" w:eastAsiaTheme="minorEastAsia" w:hAnsi="Garamond"/>
      <w:i/>
      <w:color w:val="000000" w:themeColor="text1"/>
      <w:spacing w:val="15"/>
      <w:sz w:val="24"/>
    </w:rPr>
  </w:style>
  <w:style w:type="character" w:customStyle="1" w:styleId="SubtitleChar">
    <w:name w:val="Subtitle Char"/>
    <w:basedOn w:val="DefaultParagraphFont"/>
    <w:link w:val="Subtitle"/>
    <w:uiPriority w:val="11"/>
    <w:rsid w:val="00C706BF"/>
    <w:rPr>
      <w:rFonts w:ascii="Garamond" w:eastAsiaTheme="minorEastAsia" w:hAnsi="Garamond"/>
      <w:i/>
      <w:color w:val="000000" w:themeColor="text1"/>
      <w:spacing w:val="15"/>
      <w:sz w:val="24"/>
    </w:rPr>
  </w:style>
  <w:style w:type="paragraph" w:styleId="ListBullet">
    <w:name w:val="List Bullet"/>
    <w:basedOn w:val="Normal"/>
    <w:uiPriority w:val="99"/>
    <w:unhideWhenUsed/>
    <w:rsid w:val="00C706BF"/>
    <w:pPr>
      <w:numPr>
        <w:numId w:val="1"/>
      </w:numPr>
      <w:spacing w:after="240" w:line="240" w:lineRule="auto"/>
      <w:ind w:right="2520"/>
    </w:pPr>
    <w:rPr>
      <w:rFonts w:ascii="Garamond" w:hAnsi="Garamond"/>
      <w:sz w:val="24"/>
    </w:rPr>
  </w:style>
  <w:style w:type="paragraph" w:styleId="BalloonText">
    <w:name w:val="Balloon Text"/>
    <w:basedOn w:val="Normal"/>
    <w:link w:val="BalloonTextChar"/>
    <w:uiPriority w:val="99"/>
    <w:semiHidden/>
    <w:unhideWhenUsed/>
    <w:rsid w:val="00BC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B6D"/>
    <w:rPr>
      <w:rFonts w:ascii="Segoe UI" w:hAnsi="Segoe UI" w:cs="Segoe UI"/>
      <w:sz w:val="18"/>
      <w:szCs w:val="18"/>
    </w:rPr>
  </w:style>
  <w:style w:type="paragraph" w:styleId="ListBullet2">
    <w:name w:val="List Bullet 2"/>
    <w:basedOn w:val="Normal"/>
    <w:uiPriority w:val="99"/>
    <w:unhideWhenUsed/>
    <w:rsid w:val="004C4449"/>
    <w:pPr>
      <w:numPr>
        <w:numId w:val="2"/>
      </w:numPr>
      <w:spacing w:after="220" w:line="240" w:lineRule="auto"/>
      <w:ind w:right="2520"/>
    </w:pPr>
    <w:rPr>
      <w:rFonts w:ascii="Times New Roman" w:hAnsi="Times New Roman"/>
    </w:rPr>
  </w:style>
  <w:style w:type="paragraph" w:styleId="BodyText2">
    <w:name w:val="Body Text 2"/>
    <w:basedOn w:val="Normal"/>
    <w:link w:val="BodyText2Char"/>
    <w:uiPriority w:val="99"/>
    <w:unhideWhenUsed/>
    <w:rsid w:val="00C0639A"/>
    <w:pPr>
      <w:spacing w:after="120" w:line="480" w:lineRule="auto"/>
    </w:pPr>
  </w:style>
  <w:style w:type="character" w:customStyle="1" w:styleId="BodyText2Char">
    <w:name w:val="Body Text 2 Char"/>
    <w:basedOn w:val="DefaultParagraphFont"/>
    <w:link w:val="BodyText2"/>
    <w:uiPriority w:val="99"/>
    <w:rsid w:val="00C0639A"/>
  </w:style>
  <w:style w:type="character" w:styleId="Hyperlink">
    <w:name w:val="Hyperlink"/>
    <w:basedOn w:val="DefaultParagraphFont"/>
    <w:uiPriority w:val="99"/>
    <w:unhideWhenUsed/>
    <w:rsid w:val="00C0639A"/>
    <w:rPr>
      <w:color w:val="0563C1" w:themeColor="hyperlink"/>
      <w:u w:val="single"/>
    </w:rPr>
  </w:style>
  <w:style w:type="character" w:customStyle="1" w:styleId="apple-converted-space">
    <w:name w:val="apple-converted-space"/>
    <w:basedOn w:val="DefaultParagraphFont"/>
    <w:rsid w:val="00D46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72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mlawy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stice.gov/atr/file/903511/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4453</Characters>
  <Application>Microsoft Office Word</Application>
  <DocSecurity>0</DocSecurity>
  <PresentationFormat/>
  <Lines>96</Lines>
  <Paragraphs>19</Paragraphs>
  <ScaleCrop>false</ScaleCrop>
  <HeadingPairs>
    <vt:vector size="2" baseType="variant">
      <vt:variant>
        <vt:lpstr>Title</vt:lpstr>
      </vt:variant>
      <vt:variant>
        <vt:i4>1</vt:i4>
      </vt:variant>
    </vt:vector>
  </HeadingPairs>
  <TitlesOfParts>
    <vt:vector size="1" baseType="lpstr">
      <vt:lpstr>CCM Client Alert 1 (No-Poaching Agreements - FTC-DOJ) (00328930;2).DOCX</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CCM Client Alert 1 (No-Poaching Agreements - FTC-DOJ) (00328930;2).DOCX</dc:title>
  <dc:subject>wdNOSTAMP</dc:subject>
  <dc:creator>Amber Drew</dc:creator>
  <cp:keywords/>
  <dc:description>DO NOT STAMP</dc:description>
  <cp:lastModifiedBy>Leigh R. Quinlisk</cp:lastModifiedBy>
  <cp:revision>2</cp:revision>
  <cp:lastPrinted>2016-12-07T16:58:00Z</cp:lastPrinted>
  <dcterms:created xsi:type="dcterms:W3CDTF">2017-06-24T16:52:00Z</dcterms:created>
  <dcterms:modified xsi:type="dcterms:W3CDTF">2017-06-24T16:52:00Z</dcterms:modified>
</cp:coreProperties>
</file>